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0974">
      <w:pPr>
        <w:tabs>
          <w:tab w:val="left" w:pos="5812"/>
        </w:tabs>
        <w:spacing w:after="0" w:line="360" w:lineRule="auto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28"/>
          <w:szCs w:val="28"/>
          <w:lang w:eastAsia="zh-CN"/>
        </w:rPr>
      </w:pPr>
      <w:bookmarkStart w:id="0" w:name="_Hlk191239749"/>
      <w:r>
        <w:rPr>
          <w:rFonts w:hint="eastAsia" w:ascii="Times New Roman" w:hAnsi="Times New Roman" w:eastAsia="仿宋"/>
          <w:b/>
          <w:bCs/>
          <w:color w:val="auto"/>
          <w:sz w:val="24"/>
          <w:szCs w:val="24"/>
          <w:lang w:val="en-US" w:eastAsia="zh-CN"/>
        </w:rPr>
        <w:t>湖北中工精细陶瓷有限公司氧化铝陶瓷基片生产项目竣工</w:t>
      </w:r>
      <w:bookmarkEnd w:id="0"/>
      <w:r>
        <w:rPr>
          <w:rFonts w:hint="eastAsia" w:ascii="Times New Roman" w:hAnsi="Times New Roman" w:eastAsia="仿宋"/>
          <w:b/>
          <w:bCs/>
          <w:color w:val="auto"/>
          <w:sz w:val="24"/>
          <w:szCs w:val="24"/>
          <w:lang w:val="en-US" w:eastAsia="zh-CN"/>
        </w:rPr>
        <w:t>环境保护验收</w:t>
      </w:r>
      <w:r>
        <w:rPr>
          <w:rFonts w:hint="eastAsia" w:ascii="Times New Roman" w:hAnsi="Times New Roman" w:eastAsia="仿宋"/>
          <w:b/>
          <w:bCs/>
          <w:color w:val="auto"/>
          <w:sz w:val="24"/>
          <w:szCs w:val="24"/>
          <w:lang w:val="en-US" w:eastAsia="zh-CN"/>
        </w:rPr>
        <w:t>意见</w:t>
      </w:r>
      <w:r>
        <w:rPr>
          <w:rFonts w:hint="eastAsia" w:ascii="Times New Roman" w:hAnsi="Times New Roman" w:eastAsia="仿宋"/>
          <w:b/>
          <w:bCs/>
          <w:color w:val="auto"/>
          <w:sz w:val="24"/>
          <w:szCs w:val="24"/>
          <w:lang w:val="en-US" w:eastAsia="zh-CN"/>
        </w:rPr>
        <w:t>修改清单</w:t>
      </w:r>
      <w:bookmarkStart w:id="1" w:name="_GoBack"/>
      <w:bookmarkEnd w:id="1"/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879"/>
        <w:gridCol w:w="7230"/>
      </w:tblGrid>
      <w:tr w14:paraId="1796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362DC5E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75" w:type="pct"/>
            <w:vAlign w:val="center"/>
          </w:tcPr>
          <w:p w14:paraId="1844ACF9">
            <w:pPr>
              <w:tabs>
                <w:tab w:val="left" w:pos="5812"/>
              </w:tabs>
              <w:spacing w:after="0"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552" w:type="pct"/>
            <w:vAlign w:val="center"/>
          </w:tcPr>
          <w:p w14:paraId="01E8C375">
            <w:pPr>
              <w:tabs>
                <w:tab w:val="left" w:pos="5812"/>
              </w:tabs>
              <w:spacing w:after="0"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修改情况</w:t>
            </w:r>
          </w:p>
        </w:tc>
      </w:tr>
      <w:tr w14:paraId="144B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61034EF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5" w:type="pct"/>
            <w:vAlign w:val="center"/>
          </w:tcPr>
          <w:p w14:paraId="2F6D0A6E">
            <w:pPr>
              <w:tabs>
                <w:tab w:val="left" w:pos="5812"/>
              </w:tabs>
              <w:spacing w:after="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按照项目实际建设情况，细化项目建设内容、工艺、主要设备、环保措施的变化内容，核实变更带来的污染物排放变化及环境影响，阐述变更的环境合理性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>。</w:t>
            </w:r>
          </w:p>
        </w:tc>
        <w:tc>
          <w:tcPr>
            <w:tcW w:w="2552" w:type="pct"/>
            <w:vAlign w:val="center"/>
          </w:tcPr>
          <w:p w14:paraId="3BE430E9">
            <w:pPr>
              <w:tabs>
                <w:tab w:val="left" w:pos="5812"/>
              </w:tabs>
              <w:spacing w:after="0" w:line="360" w:lineRule="auto"/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已按照项目实际建设情况，细化了项目建设内容、工艺、主要设备、环保措施的变化内容，已核实变更带来的污染物排放变化及环境影响，阐述变更的环境合理性，见P6-8页。</w:t>
            </w:r>
          </w:p>
        </w:tc>
      </w:tr>
      <w:tr w14:paraId="6344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6DF3FFE2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5" w:type="pct"/>
            <w:vAlign w:val="center"/>
          </w:tcPr>
          <w:p w14:paraId="12EBDAD6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核实项目产生危险废物种类、代码、产生量及去向，细化危废暂存间建设的规范性，完善危险废物处置协议及收集、贮存、转运过程的环境管理要求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552" w:type="pct"/>
            <w:vAlign w:val="center"/>
          </w:tcPr>
          <w:p w14:paraId="4DF0BDC2">
            <w:pPr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已核实项目产生危险废物种类、代码、产生量及去向，见P21页；已细化危废暂存间建设的规范性，完善危险废物处置协议及收集、贮存、转运过程的环境管理要求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，见P34-37页，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险废物处置协议见附件4。</w:t>
            </w:r>
          </w:p>
        </w:tc>
      </w:tr>
      <w:tr w14:paraId="5441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40F3DE8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5" w:type="pct"/>
            <w:vAlign w:val="center"/>
          </w:tcPr>
          <w:p w14:paraId="7CF7B7A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核实生活废水处理方式、处理量、排放去向、排放标准、转运频次等，分析废水处理方式及去向合理性，完善相关支撑材料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>。</w:t>
            </w:r>
          </w:p>
        </w:tc>
        <w:tc>
          <w:tcPr>
            <w:tcW w:w="2552" w:type="pct"/>
            <w:vAlign w:val="center"/>
          </w:tcPr>
          <w:p w14:paraId="28861BD8">
            <w:pPr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核实生活废水处理方式、处理量、排放去向、排放标准、转运频次等，见P19页；废水处理方式及去向合理性，见P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页；已完善相关支撑材料，废水处置协议见附件10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>。</w:t>
            </w:r>
          </w:p>
        </w:tc>
      </w:tr>
      <w:tr w14:paraId="2837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7897182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5" w:type="pct"/>
            <w:vAlign w:val="center"/>
          </w:tcPr>
          <w:p w14:paraId="3C81706A">
            <w:pPr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核实项目主要污染物排放量，完善污染物排放总量达标分析。</w:t>
            </w:r>
          </w:p>
        </w:tc>
        <w:tc>
          <w:tcPr>
            <w:tcW w:w="2552" w:type="pct"/>
            <w:vAlign w:val="center"/>
          </w:tcPr>
          <w:p w14:paraId="6261D558">
            <w:pPr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已核实项目主要污染物排放量，完善污染物排放总量达标分析，见P33、P46页。</w:t>
            </w:r>
          </w:p>
        </w:tc>
      </w:tr>
      <w:tr w14:paraId="3F26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5D67A23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5" w:type="pct"/>
            <w:vAlign w:val="center"/>
          </w:tcPr>
          <w:p w14:paraId="5FC23DED">
            <w:pPr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核实项目环保投资，完善验收生产工况证明、防渗工程支撑材料、分区防渗图、雨污管网图、平面布置图等附图附件</w:t>
            </w:r>
          </w:p>
        </w:tc>
        <w:tc>
          <w:tcPr>
            <w:tcW w:w="2552" w:type="pct"/>
            <w:vAlign w:val="center"/>
          </w:tcPr>
          <w:p w14:paraId="09BB07B7">
            <w:pPr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已核实项目环保投资，见P40-41页；已完善验收生产工况证明，见附件3；防渗工程支撑材料见附件11、分区防渗图见附图6、平面布置图、雨污管网图见附图3。</w:t>
            </w:r>
          </w:p>
        </w:tc>
      </w:tr>
    </w:tbl>
    <w:p w14:paraId="6F5CB0DE">
      <w:pPr>
        <w:ind w:left="0" w:leftChars="0" w:firstLine="0" w:firstLineChars="0"/>
        <w:jc w:val="center"/>
        <w:rPr>
          <w:rFonts w:hint="eastAsia" w:eastAsia="宋体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8C1B575">
      <w:pPr>
        <w:pStyle w:val="6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955280" cy="5284470"/>
            <wp:effectExtent l="0" t="0" r="11430" b="7620"/>
            <wp:docPr id="1" name="图片 1" descr="5486a552cf9a9beb383b57a22da83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86a552cf9a9beb383b57a22da83f6d"/>
                    <pic:cNvPicPr>
                      <a:picLocks noChangeAspect="1"/>
                    </pic:cNvPicPr>
                  </pic:nvPicPr>
                  <pic:blipFill>
                    <a:blip r:embed="rId6"/>
                    <a:srcRect l="471" t="107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55280" cy="52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6">
      <wne:acd wne:acdName="acd0"/>
    </wne:keymap>
    <wne:keymap wne:kcmPrimary="0232">
      <wne:acd wne:acdName="acd1"/>
    </wne:keymap>
    <wne:keymap wne:kcmPrimary="0231">
      <wne:acd wne:acdName="acd2"/>
    </wne:keymap>
  </wne:keymaps>
  <wne:acds>
    <wne:acd wne:argValue="AQAAAAAA" wne:acdName="acd0" wne:fciIndexBasedOn="0065"/>
    <wne:acd wne:argValue="AQAAAAIA" wne:acdName="acd1" wne:fciIndexBasedOn="0065"/>
    <wne:acd wne:argValue="AQAAAAE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15C6F"/>
    <w:multiLevelType w:val="multilevel"/>
    <w:tmpl w:val="17E15C6F"/>
    <w:lvl w:ilvl="0" w:tentative="0">
      <w:start w:val="1"/>
      <w:numFmt w:val="decimal"/>
      <w:lvlText w:val="%1."/>
      <w:lvlJc w:val="left"/>
      <w:pPr>
        <w:tabs>
          <w:tab w:val="left" w:pos="10064"/>
        </w:tabs>
        <w:ind w:left="10064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820"/>
        </w:tabs>
        <w:ind w:left="4820" w:hanging="709"/>
      </w:pPr>
      <w:rPr>
        <w:rFonts w:hint="default" w:ascii="Times New Roman" w:hAnsi="Times New Roman" w:cs="Times New Roman"/>
        <w:sz w:val="24"/>
        <w:szCs w:val="24"/>
      </w:rPr>
    </w:lvl>
    <w:lvl w:ilvl="3" w:tentative="0">
      <w:start w:val="1"/>
      <w:numFmt w:val="decimal"/>
      <w:pStyle w:val="19"/>
      <w:lvlText w:val="%1.%2.%3.%4."/>
      <w:lvlJc w:val="left"/>
      <w:pPr>
        <w:tabs>
          <w:tab w:val="left" w:pos="8081"/>
        </w:tabs>
        <w:ind w:left="808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4C4FEAEF"/>
    <w:multiLevelType w:val="multilevel"/>
    <w:tmpl w:val="4C4FEAEF"/>
    <w:lvl w:ilvl="0" w:tentative="0">
      <w:start w:val="1"/>
      <w:numFmt w:val="decimal"/>
      <w:pStyle w:val="3"/>
      <w:lvlText w:val="第%1章  "/>
      <w:lvlJc w:val="left"/>
      <w:pPr>
        <w:tabs>
          <w:tab w:val="left" w:pos="1560"/>
        </w:tabs>
        <w:ind w:left="284" w:hanging="284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lvlText w:val="%2"/>
      <w:lvlJc w:val="left"/>
      <w:pPr>
        <w:tabs>
          <w:tab w:val="left" w:pos="2269"/>
        </w:tabs>
        <w:ind w:left="2269" w:hanging="284"/>
      </w:pPr>
      <w:rPr>
        <w:rFonts w:hint="default" w:ascii="Times New Roman" w:hAnsi="Times New Roman" w:eastAsia="黑体"/>
        <w:b/>
        <w:i w:val="0"/>
        <w:sz w:val="32"/>
      </w:rPr>
    </w:lvl>
    <w:lvl w:ilvl="2" w:tentative="0">
      <w:start w:val="1"/>
      <w:numFmt w:val="decimal"/>
      <w:pStyle w:val="5"/>
      <w:suff w:val="space"/>
      <w:lvlText w:val="%2.%3"/>
      <w:lvlJc w:val="left"/>
      <w:pPr>
        <w:ind w:left="2127" w:hanging="284"/>
      </w:pPr>
      <w:rPr>
        <w:rFonts w:hint="default" w:ascii="Times New Roman" w:hAnsi="Times New Roman" w:eastAsia="黑体"/>
        <w:b/>
        <w:i w:val="0"/>
        <w:sz w:val="24"/>
      </w:rPr>
    </w:lvl>
    <w:lvl w:ilvl="3" w:tentative="0">
      <w:start w:val="1"/>
      <w:numFmt w:val="decimal"/>
      <w:suff w:val="space"/>
      <w:lvlText w:val="%2.%3.%4"/>
      <w:lvlJc w:val="left"/>
      <w:pPr>
        <w:ind w:left="710" w:hanging="284"/>
      </w:pPr>
      <w:rPr>
        <w:rFonts w:hint="default" w:ascii="Times New Roman" w:hAnsi="Times New Roman" w:eastAsia="宋体"/>
        <w:b w:val="0"/>
        <w:i w:val="0"/>
        <w:color w:val="000000"/>
        <w:sz w:val="24"/>
      </w:rPr>
    </w:lvl>
    <w:lvl w:ilvl="4" w:tentative="0">
      <w:start w:val="1"/>
      <w:numFmt w:val="decimal"/>
      <w:suff w:val="space"/>
      <w:lvlText w:val="%2.%3.%4.%5"/>
      <w:lvlJc w:val="left"/>
      <w:pPr>
        <w:ind w:left="284" w:firstLine="17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decimal"/>
      <w:lvlText w:val="%2.%3.%4.%5.%6"/>
      <w:lvlJc w:val="left"/>
      <w:pPr>
        <w:tabs>
          <w:tab w:val="left" w:pos="1560"/>
        </w:tabs>
        <w:ind w:left="284" w:hanging="284"/>
      </w:pPr>
      <w:rPr>
        <w:rFonts w:hint="default" w:ascii="Times New Roman" w:hAnsi="Times New Roman"/>
      </w:rPr>
    </w:lvl>
    <w:lvl w:ilvl="6" w:tentative="0">
      <w:start w:val="1"/>
      <w:numFmt w:val="decimal"/>
      <w:lvlText w:val="%2.%3.%4.%5.%6.%7"/>
      <w:lvlJc w:val="left"/>
      <w:pPr>
        <w:tabs>
          <w:tab w:val="left" w:pos="1560"/>
        </w:tabs>
        <w:ind w:left="284" w:hanging="284"/>
      </w:pPr>
      <w:rPr>
        <w:rFonts w:hint="eastAsia"/>
      </w:rPr>
    </w:lvl>
    <w:lvl w:ilvl="7" w:tentative="0">
      <w:start w:val="1"/>
      <w:numFmt w:val="decimal"/>
      <w:lvlText w:val="%2.%3.%4.%5.%6.%7.%8"/>
      <w:lvlJc w:val="left"/>
      <w:pPr>
        <w:tabs>
          <w:tab w:val="left" w:pos="1560"/>
        </w:tabs>
        <w:ind w:left="284" w:hanging="284"/>
      </w:pPr>
      <w:rPr>
        <w:rFonts w:hint="eastAsia"/>
      </w:rPr>
    </w:lvl>
    <w:lvl w:ilvl="8" w:tentative="0">
      <w:start w:val="1"/>
      <w:numFmt w:val="decimal"/>
      <w:lvlText w:val="%2.%3.%4.%5.%6.%7.%8.%9"/>
      <w:lvlJc w:val="left"/>
      <w:pPr>
        <w:tabs>
          <w:tab w:val="left" w:pos="1560"/>
        </w:tabs>
        <w:ind w:left="284" w:hanging="2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DM1NmRkNmU4YmFhYzU2MTFhNzdhZWZmYmNhM2YifQ=="/>
  </w:docVars>
  <w:rsids>
    <w:rsidRoot w:val="00000000"/>
    <w:rsid w:val="00A842A2"/>
    <w:rsid w:val="019C3AC0"/>
    <w:rsid w:val="02524C5B"/>
    <w:rsid w:val="03411C29"/>
    <w:rsid w:val="03D746CC"/>
    <w:rsid w:val="050E411D"/>
    <w:rsid w:val="05691324"/>
    <w:rsid w:val="058C1C12"/>
    <w:rsid w:val="05C2323F"/>
    <w:rsid w:val="05CB18E7"/>
    <w:rsid w:val="064B6785"/>
    <w:rsid w:val="070F3EF5"/>
    <w:rsid w:val="09BC56A3"/>
    <w:rsid w:val="0AFE3D2C"/>
    <w:rsid w:val="0B9C35DD"/>
    <w:rsid w:val="0BE24D68"/>
    <w:rsid w:val="0C3A76FD"/>
    <w:rsid w:val="0E1D0C73"/>
    <w:rsid w:val="0E8B6438"/>
    <w:rsid w:val="0EDF0E07"/>
    <w:rsid w:val="10A574D6"/>
    <w:rsid w:val="10DF39F4"/>
    <w:rsid w:val="111630A7"/>
    <w:rsid w:val="11F44749"/>
    <w:rsid w:val="120F0D27"/>
    <w:rsid w:val="121C7B55"/>
    <w:rsid w:val="124C5E0A"/>
    <w:rsid w:val="12A111E3"/>
    <w:rsid w:val="145010FC"/>
    <w:rsid w:val="14636B11"/>
    <w:rsid w:val="14D92217"/>
    <w:rsid w:val="14DD54A2"/>
    <w:rsid w:val="153D6A75"/>
    <w:rsid w:val="153F2564"/>
    <w:rsid w:val="1667730B"/>
    <w:rsid w:val="16B35505"/>
    <w:rsid w:val="16DC1B46"/>
    <w:rsid w:val="17472C09"/>
    <w:rsid w:val="17AD5A18"/>
    <w:rsid w:val="18F90F15"/>
    <w:rsid w:val="192D700F"/>
    <w:rsid w:val="19B73674"/>
    <w:rsid w:val="19C47412"/>
    <w:rsid w:val="1B767C42"/>
    <w:rsid w:val="1B7D1482"/>
    <w:rsid w:val="1BB347DC"/>
    <w:rsid w:val="1C0769AE"/>
    <w:rsid w:val="1D063273"/>
    <w:rsid w:val="1D92156A"/>
    <w:rsid w:val="1EA20EC7"/>
    <w:rsid w:val="1EB86F01"/>
    <w:rsid w:val="1EB97335"/>
    <w:rsid w:val="1F32690B"/>
    <w:rsid w:val="1FC2781C"/>
    <w:rsid w:val="20582C19"/>
    <w:rsid w:val="2109148E"/>
    <w:rsid w:val="22A64866"/>
    <w:rsid w:val="22C94179"/>
    <w:rsid w:val="22E06732"/>
    <w:rsid w:val="236A5DD9"/>
    <w:rsid w:val="23F66027"/>
    <w:rsid w:val="24161FF8"/>
    <w:rsid w:val="24A34C1C"/>
    <w:rsid w:val="252904D8"/>
    <w:rsid w:val="25742DC8"/>
    <w:rsid w:val="25B93934"/>
    <w:rsid w:val="261D1FF3"/>
    <w:rsid w:val="268D6C84"/>
    <w:rsid w:val="271F3C27"/>
    <w:rsid w:val="283755B5"/>
    <w:rsid w:val="28570D89"/>
    <w:rsid w:val="29022607"/>
    <w:rsid w:val="296C128F"/>
    <w:rsid w:val="2B30786A"/>
    <w:rsid w:val="2B4C6A47"/>
    <w:rsid w:val="2BE929CB"/>
    <w:rsid w:val="2DBE759A"/>
    <w:rsid w:val="2EB95AF9"/>
    <w:rsid w:val="2EEB0C1C"/>
    <w:rsid w:val="2EEB753A"/>
    <w:rsid w:val="2F49132C"/>
    <w:rsid w:val="2F5222C1"/>
    <w:rsid w:val="31DF7492"/>
    <w:rsid w:val="31F8048E"/>
    <w:rsid w:val="33514532"/>
    <w:rsid w:val="3393066A"/>
    <w:rsid w:val="33FA04B7"/>
    <w:rsid w:val="341901E8"/>
    <w:rsid w:val="349B45FD"/>
    <w:rsid w:val="34A17A33"/>
    <w:rsid w:val="34C915A1"/>
    <w:rsid w:val="34DA1EC8"/>
    <w:rsid w:val="35040F15"/>
    <w:rsid w:val="35B67A80"/>
    <w:rsid w:val="362A3F23"/>
    <w:rsid w:val="364774DA"/>
    <w:rsid w:val="365420F7"/>
    <w:rsid w:val="36A678E6"/>
    <w:rsid w:val="36EE2A7F"/>
    <w:rsid w:val="371266B9"/>
    <w:rsid w:val="37D050DF"/>
    <w:rsid w:val="37F449DD"/>
    <w:rsid w:val="380D5C0A"/>
    <w:rsid w:val="38A164DF"/>
    <w:rsid w:val="395B16FB"/>
    <w:rsid w:val="39F53E2E"/>
    <w:rsid w:val="3A40140E"/>
    <w:rsid w:val="3A6778CB"/>
    <w:rsid w:val="3AC81070"/>
    <w:rsid w:val="3C2C5294"/>
    <w:rsid w:val="3C6B3628"/>
    <w:rsid w:val="3CBD180D"/>
    <w:rsid w:val="3CC35B1E"/>
    <w:rsid w:val="3D2E4D81"/>
    <w:rsid w:val="3E33058D"/>
    <w:rsid w:val="3ED7187E"/>
    <w:rsid w:val="3F3A1852"/>
    <w:rsid w:val="3F9561CE"/>
    <w:rsid w:val="404A04F1"/>
    <w:rsid w:val="40691473"/>
    <w:rsid w:val="41DD2893"/>
    <w:rsid w:val="41E2438C"/>
    <w:rsid w:val="420E4D81"/>
    <w:rsid w:val="43034C9A"/>
    <w:rsid w:val="43754D8C"/>
    <w:rsid w:val="44865862"/>
    <w:rsid w:val="44BD1B0F"/>
    <w:rsid w:val="44C47D79"/>
    <w:rsid w:val="457D0AFF"/>
    <w:rsid w:val="45AC1F63"/>
    <w:rsid w:val="46FC6F74"/>
    <w:rsid w:val="47134FE8"/>
    <w:rsid w:val="4732321A"/>
    <w:rsid w:val="48B33263"/>
    <w:rsid w:val="4A38371F"/>
    <w:rsid w:val="4A480CD4"/>
    <w:rsid w:val="4AB37053"/>
    <w:rsid w:val="4BB96D0E"/>
    <w:rsid w:val="4BE74035"/>
    <w:rsid w:val="4C1B262D"/>
    <w:rsid w:val="4CC862FB"/>
    <w:rsid w:val="4E1B0E2F"/>
    <w:rsid w:val="4E2E04CE"/>
    <w:rsid w:val="4EC15329"/>
    <w:rsid w:val="4F74239C"/>
    <w:rsid w:val="4FDB0366"/>
    <w:rsid w:val="50D97F9E"/>
    <w:rsid w:val="50FD14C0"/>
    <w:rsid w:val="52EC6E19"/>
    <w:rsid w:val="53861EDB"/>
    <w:rsid w:val="53EA044A"/>
    <w:rsid w:val="566C201F"/>
    <w:rsid w:val="5685681A"/>
    <w:rsid w:val="569577C7"/>
    <w:rsid w:val="571A5AB0"/>
    <w:rsid w:val="57940AB6"/>
    <w:rsid w:val="579A04F6"/>
    <w:rsid w:val="58805B34"/>
    <w:rsid w:val="58B65585"/>
    <w:rsid w:val="59687ADB"/>
    <w:rsid w:val="5980093F"/>
    <w:rsid w:val="5A932270"/>
    <w:rsid w:val="5B8B7EF9"/>
    <w:rsid w:val="5C1B65AF"/>
    <w:rsid w:val="5D2D4164"/>
    <w:rsid w:val="5D781AC8"/>
    <w:rsid w:val="5D9C47BF"/>
    <w:rsid w:val="5DAF55CC"/>
    <w:rsid w:val="5DB630CF"/>
    <w:rsid w:val="5DD04A5B"/>
    <w:rsid w:val="5DFA6FAF"/>
    <w:rsid w:val="5F8039E4"/>
    <w:rsid w:val="5FCB4905"/>
    <w:rsid w:val="602E3BA1"/>
    <w:rsid w:val="614B4FFA"/>
    <w:rsid w:val="61714D2B"/>
    <w:rsid w:val="627731E4"/>
    <w:rsid w:val="62C34090"/>
    <w:rsid w:val="62F371E5"/>
    <w:rsid w:val="63285E94"/>
    <w:rsid w:val="632D5039"/>
    <w:rsid w:val="63443AEC"/>
    <w:rsid w:val="63540CEE"/>
    <w:rsid w:val="63CF592C"/>
    <w:rsid w:val="63E03594"/>
    <w:rsid w:val="64787360"/>
    <w:rsid w:val="64D15E6F"/>
    <w:rsid w:val="65BF03BD"/>
    <w:rsid w:val="65D14795"/>
    <w:rsid w:val="673D4761"/>
    <w:rsid w:val="675B4115"/>
    <w:rsid w:val="67644DC9"/>
    <w:rsid w:val="67A21168"/>
    <w:rsid w:val="67A76D90"/>
    <w:rsid w:val="67CD7585"/>
    <w:rsid w:val="67DE4E6C"/>
    <w:rsid w:val="6820029A"/>
    <w:rsid w:val="68657898"/>
    <w:rsid w:val="688F59F4"/>
    <w:rsid w:val="68DD4838"/>
    <w:rsid w:val="68F06831"/>
    <w:rsid w:val="69080F42"/>
    <w:rsid w:val="6AE83DCE"/>
    <w:rsid w:val="6B797260"/>
    <w:rsid w:val="6BB30488"/>
    <w:rsid w:val="6BC02799"/>
    <w:rsid w:val="6E6070DB"/>
    <w:rsid w:val="6E7119F6"/>
    <w:rsid w:val="6F68453F"/>
    <w:rsid w:val="6F6B49A5"/>
    <w:rsid w:val="704E218E"/>
    <w:rsid w:val="70A95EF1"/>
    <w:rsid w:val="70B3105A"/>
    <w:rsid w:val="70C1063C"/>
    <w:rsid w:val="7146140F"/>
    <w:rsid w:val="71B93FA1"/>
    <w:rsid w:val="729F135A"/>
    <w:rsid w:val="732D1C56"/>
    <w:rsid w:val="734A3C51"/>
    <w:rsid w:val="739C0888"/>
    <w:rsid w:val="73B777F3"/>
    <w:rsid w:val="74E677DF"/>
    <w:rsid w:val="74EA7CE9"/>
    <w:rsid w:val="74F82FA3"/>
    <w:rsid w:val="76636BFE"/>
    <w:rsid w:val="772169E9"/>
    <w:rsid w:val="775B52F0"/>
    <w:rsid w:val="782B226C"/>
    <w:rsid w:val="78AC19D9"/>
    <w:rsid w:val="799354EC"/>
    <w:rsid w:val="79E635C3"/>
    <w:rsid w:val="79F25E60"/>
    <w:rsid w:val="7BB8621C"/>
    <w:rsid w:val="7BCC5A42"/>
    <w:rsid w:val="7C1103AD"/>
    <w:rsid w:val="7C4216C2"/>
    <w:rsid w:val="7D326A06"/>
    <w:rsid w:val="7E363FFE"/>
    <w:rsid w:val="7E8E7942"/>
    <w:rsid w:val="7E991353"/>
    <w:rsid w:val="7F725FE0"/>
    <w:rsid w:val="7FD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400" w:firstLineChars="200"/>
      <w:jc w:val="both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pageBreakBefore/>
      <w:numPr>
        <w:ilvl w:val="0"/>
        <w:numId w:val="1"/>
      </w:numPr>
      <w:adjustRightInd w:val="0"/>
      <w:snapToGrid w:val="0"/>
      <w:spacing w:line="360" w:lineRule="auto"/>
      <w:ind w:left="0" w:firstLine="0"/>
      <w:outlineLvl w:val="0"/>
    </w:pPr>
    <w:rPr>
      <w:rFonts w:ascii="Times New Roman" w:hAnsi="Times New Roman" w:eastAsia="宋体" w:cs="Times New Roman"/>
      <w:b/>
      <w:kern w:val="44"/>
      <w:sz w:val="30"/>
      <w:szCs w:val="24"/>
      <w:lang w:val="en-US" w:bidi="ar-SA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cs="宋体"/>
      <w:b/>
      <w:bCs/>
      <w:sz w:val="30"/>
      <w:szCs w:val="30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numPr>
        <w:ilvl w:val="2"/>
        <w:numId w:val="1"/>
      </w:numPr>
      <w:adjustRightInd w:val="0"/>
      <w:snapToGrid w:val="0"/>
      <w:spacing w:line="240" w:lineRule="auto"/>
      <w:ind w:left="2127" w:hanging="284" w:firstLineChars="0"/>
      <w:jc w:val="left"/>
      <w:outlineLvl w:val="2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2">
    <w:name w:val="heading 4"/>
    <w:basedOn w:val="1"/>
    <w:next w:val="1"/>
    <w:link w:val="25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firstLine="0" w:firstLineChars="0"/>
      <w:outlineLvl w:val="3"/>
    </w:pPr>
    <w:rPr>
      <w:rFonts w:asciiTheme="majorAscii" w:hAnsiTheme="majorAscii" w:cstheme="majorBidi"/>
      <w:b/>
      <w:bCs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toc 1"/>
    <w:basedOn w:val="1"/>
    <w:next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sz w:val="24"/>
    </w:rPr>
  </w:style>
  <w:style w:type="paragraph" w:styleId="11">
    <w:name w:val="toc 2"/>
    <w:basedOn w:val="1"/>
    <w:next w:val="1"/>
    <w:qFormat/>
    <w:uiPriority w:val="0"/>
    <w:pPr>
      <w:spacing w:line="240" w:lineRule="auto"/>
      <w:ind w:left="0" w:firstLine="0" w:firstLineChars="0"/>
      <w:jc w:val="left"/>
    </w:pPr>
    <w:rPr>
      <w:rFonts w:eastAsia="宋体" w:cs="Times New Roman" w:asciiTheme="minorAscii" w:hAnsiTheme="minorAscii"/>
      <w:smallCaps/>
      <w:sz w:val="20"/>
      <w:szCs w:val="20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3 Char"/>
    <w:basedOn w:val="15"/>
    <w:link w:val="5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paragraph" w:customStyle="1" w:styleId="17">
    <w:name w:val="0正文"/>
    <w:basedOn w:val="1"/>
    <w:qFormat/>
    <w:uiPriority w:val="0"/>
    <w:pPr>
      <w:widowControl w:val="0"/>
      <w:spacing w:line="360" w:lineRule="auto"/>
      <w:ind w:firstLine="720" w:firstLineChars="200"/>
    </w:pPr>
    <w:rPr>
      <w:rFonts w:ascii="Calibri" w:hAnsi="Calibri"/>
      <w:szCs w:val="22"/>
    </w:rPr>
  </w:style>
  <w:style w:type="character" w:customStyle="1" w:styleId="18">
    <w:name w:val="标题 2 Char"/>
    <w:basedOn w:val="15"/>
    <w:link w:val="4"/>
    <w:qFormat/>
    <w:uiPriority w:val="0"/>
    <w:rPr>
      <w:rFonts w:ascii="Times New Roman" w:hAnsi="Times New Roman" w:eastAsia="宋体" w:cs="宋体"/>
      <w:b/>
      <w:bCs/>
      <w:sz w:val="28"/>
      <w:szCs w:val="32"/>
    </w:rPr>
  </w:style>
  <w:style w:type="paragraph" w:customStyle="1" w:styleId="19">
    <w:name w:val="标题4"/>
    <w:basedOn w:val="1"/>
    <w:qFormat/>
    <w:uiPriority w:val="0"/>
    <w:pPr>
      <w:numPr>
        <w:ilvl w:val="3"/>
        <w:numId w:val="2"/>
      </w:numPr>
      <w:ind w:left="8081" w:hanging="851" w:firstLineChars="0"/>
    </w:pPr>
  </w:style>
  <w:style w:type="paragraph" w:customStyle="1" w:styleId="20">
    <w:name w:val="表格表头"/>
    <w:basedOn w:val="1"/>
    <w:link w:val="21"/>
    <w:qFormat/>
    <w:uiPriority w:val="0"/>
    <w:pPr>
      <w:spacing w:line="360" w:lineRule="auto"/>
      <w:ind w:firstLine="0" w:firstLineChars="0"/>
      <w:jc w:val="center"/>
    </w:pPr>
    <w:rPr>
      <w:b/>
      <w:kern w:val="0"/>
    </w:rPr>
  </w:style>
  <w:style w:type="character" w:customStyle="1" w:styleId="21">
    <w:name w:val="表格表头 Char"/>
    <w:link w:val="20"/>
    <w:qFormat/>
    <w:uiPriority w:val="0"/>
    <w:rPr>
      <w:rFonts w:ascii="Times New Roman" w:hAnsi="Times New Roman" w:eastAsia="宋体" w:cstheme="minorBidi"/>
      <w:sz w:val="24"/>
      <w:szCs w:val="24"/>
    </w:rPr>
  </w:style>
  <w:style w:type="character" w:customStyle="1" w:styleId="22">
    <w:name w:val="标题 1 Char"/>
    <w:basedOn w:val="15"/>
    <w:link w:val="3"/>
    <w:qFormat/>
    <w:uiPriority w:val="0"/>
    <w:rPr>
      <w:rFonts w:ascii="Times New Roman" w:hAnsi="Times New Roman" w:eastAsia="宋体" w:cs="Times New Roman"/>
      <w:b/>
      <w:kern w:val="44"/>
      <w:sz w:val="30"/>
      <w:szCs w:val="24"/>
      <w:lang w:val="en-US" w:bidi="ar-SA"/>
    </w:rPr>
  </w:style>
  <w:style w:type="paragraph" w:customStyle="1" w:styleId="23">
    <w:name w:val="表头"/>
    <w:basedOn w:val="24"/>
    <w:next w:val="1"/>
    <w:qFormat/>
    <w:uiPriority w:val="0"/>
    <w:pPr>
      <w:widowControl/>
      <w:spacing w:line="240" w:lineRule="auto"/>
      <w:ind w:firstLine="0" w:firstLineChars="0"/>
      <w:jc w:val="center"/>
      <w:textAlignment w:val="baseline"/>
    </w:pPr>
    <w:rPr>
      <w:rFonts w:ascii="Times New Roman" w:hAnsi="Times New Roman" w:eastAsia="宋体"/>
      <w:kern w:val="0"/>
      <w:szCs w:val="24"/>
    </w:rPr>
  </w:style>
  <w:style w:type="paragraph" w:customStyle="1" w:styleId="24">
    <w:name w:val="样式1"/>
    <w:basedOn w:val="1"/>
    <w:qFormat/>
    <w:uiPriority w:val="0"/>
    <w:pPr>
      <w:spacing w:line="240" w:lineRule="auto"/>
      <w:ind w:firstLine="0" w:firstLineChars="0"/>
      <w:jc w:val="center"/>
    </w:pPr>
    <w:rPr>
      <w:rFonts w:eastAsia="宋体" w:asciiTheme="minorAscii" w:hAnsiTheme="minorAscii" w:cstheme="minorBidi"/>
      <w:b/>
      <w:bCs/>
    </w:rPr>
  </w:style>
  <w:style w:type="character" w:customStyle="1" w:styleId="25">
    <w:name w:val="标题 4 Char"/>
    <w:basedOn w:val="15"/>
    <w:link w:val="2"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6">
    <w:name w:val="表头1"/>
    <w:basedOn w:val="1"/>
    <w:qFormat/>
    <w:uiPriority w:val="0"/>
    <w:pPr>
      <w:spacing w:line="240" w:lineRule="auto"/>
      <w:ind w:firstLine="0" w:firstLineChars="0"/>
      <w:jc w:val="center"/>
    </w:pPr>
    <w:rPr>
      <w:rFonts w:hint="eastAsia"/>
      <w:b/>
    </w:rPr>
  </w:style>
  <w:style w:type="paragraph" w:customStyle="1" w:styleId="27">
    <w:name w:val="表格"/>
    <w:basedOn w:val="1"/>
    <w:next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  <w:textAlignment w:val="baseline"/>
    </w:pPr>
    <w:rPr>
      <w:rFonts w:ascii="Times New Roman" w:hAnsi="Times New Roman" w:cstheme="minorBidi"/>
      <w:w w:val="90"/>
      <w:sz w:val="21"/>
      <w:szCs w:val="21"/>
    </w:rPr>
  </w:style>
  <w:style w:type="paragraph" w:customStyle="1" w:styleId="28">
    <w:name w:val="表内格式"/>
    <w:basedOn w:val="1"/>
    <w:link w:val="29"/>
    <w:qFormat/>
    <w:uiPriority w:val="0"/>
    <w:pPr>
      <w:spacing w:line="240" w:lineRule="auto"/>
      <w:ind w:firstLine="0" w:firstLineChars="0"/>
      <w:jc w:val="center"/>
    </w:pPr>
    <w:rPr>
      <w:rFonts w:ascii="宋体" w:hAnsi="宋体" w:cstheme="minorBidi"/>
      <w:sz w:val="21"/>
      <w:szCs w:val="21"/>
    </w:rPr>
  </w:style>
  <w:style w:type="character" w:customStyle="1" w:styleId="29">
    <w:name w:val="表内格式 Char"/>
    <w:link w:val="28"/>
    <w:qFormat/>
    <w:uiPriority w:val="0"/>
    <w:rPr>
      <w:rFonts w:ascii="宋体" w:hAnsi="宋体" w:eastAsia="宋体"/>
      <w:kern w:val="2"/>
      <w:sz w:val="21"/>
    </w:rPr>
  </w:style>
  <w:style w:type="paragraph" w:customStyle="1" w:styleId="30">
    <w:name w:val="表格1"/>
    <w:basedOn w:val="1"/>
    <w:qFormat/>
    <w:uiPriority w:val="99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color w:val="000000"/>
      <w:sz w:val="21"/>
      <w:szCs w:val="21"/>
    </w:rPr>
  </w:style>
  <w:style w:type="paragraph" w:customStyle="1" w:styleId="31">
    <w:name w:val="表格文本"/>
    <w:basedOn w:val="1"/>
    <w:qFormat/>
    <w:uiPriority w:val="0"/>
    <w:pPr>
      <w:spacing w:line="240" w:lineRule="auto"/>
      <w:jc w:val="center"/>
    </w:pPr>
    <w:rPr>
      <w:rFonts w:ascii="Times New Roman" w:hAnsi="Times New Roman" w:eastAsia="宋体" w:cs="宋体"/>
      <w:sz w:val="21"/>
      <w:szCs w:val="21"/>
    </w:rPr>
  </w:style>
  <w:style w:type="paragraph" w:customStyle="1" w:styleId="32">
    <w:name w:val="表格文本 小五 居中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宋体"/>
      <w:sz w:val="21"/>
      <w:szCs w:val="21"/>
    </w:rPr>
  </w:style>
  <w:style w:type="paragraph" w:customStyle="1" w:styleId="33">
    <w:name w:val="表头11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b/>
      <w:bCs/>
    </w:rPr>
  </w:style>
  <w:style w:type="paragraph" w:customStyle="1" w:styleId="34">
    <w:name w:val="表格表头1"/>
    <w:basedOn w:val="1"/>
    <w:next w:val="27"/>
    <w:qFormat/>
    <w:uiPriority w:val="0"/>
    <w:pPr>
      <w:ind w:firstLine="0" w:firstLineChars="0"/>
      <w:jc w:val="center"/>
    </w:pPr>
    <w:rPr>
      <w:rFonts w:hint="eastAsia" w:ascii="Times New Roman" w:hAnsi="Times New Roman" w:eastAsia="宋体" w:cs="Times New Roman"/>
      <w:b/>
      <w:color w:val="auto"/>
      <w:sz w:val="21"/>
      <w:szCs w:val="21"/>
    </w:rPr>
  </w:style>
  <w:style w:type="character" w:customStyle="1" w:styleId="35">
    <w:name w:val="表格 Char Char"/>
    <w:link w:val="27"/>
    <w:qFormat/>
    <w:locked/>
    <w:uiPriority w:val="0"/>
    <w:rPr>
      <w:rFonts w:ascii="Times New Roman" w:hAnsi="Times New Roman" w:eastAsia="宋体"/>
      <w:w w:val="9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460</Characters>
  <Lines>0</Lines>
  <Paragraphs>0</Paragraphs>
  <TotalTime>2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2021-09-23T00:50:00Z</dcterms:created>
  <dc:creator>lenovo</dc:creator>
  <cp:lastModifiedBy>悟空</cp:lastModifiedBy>
  <cp:lastPrinted>2023-04-21T07:22:00Z</cp:lastPrinted>
  <dcterms:modified xsi:type="dcterms:W3CDTF">2026-03-18T06:49:24Z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41AC00BF63D24445A95A5A83FE51D842</vt:lpwstr>
  </property>
  <property fmtid="{D5CDD505-2E9C-101B-9397-08002B2CF9AE}" pid="4" name="KSOTemplateDocerSaveRecord">
    <vt:lpwstr>eyJoZGlkIjoiMGNlZDM1NmRkNmU4YmFhYzU2MTFhNzdhZWZmYmNhM2YiLCJ1c2VySWQiOiIxMzIwMTIxNjQ5In0=</vt:lpwstr>
  </property>
</Properties>
</file>